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Седельниковского муниципального района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>
        <w:rPr>
          <w:rFonts w:eastAsia="Calibri"/>
          <w:b/>
          <w:i/>
          <w:spacing w:val="0"/>
          <w:lang w:eastAsia="ru-RU"/>
        </w:rPr>
        <w:t>56</w:t>
      </w:r>
      <w:r>
        <w:rPr>
          <w:rFonts w:eastAsia="Calibri"/>
          <w:i/>
          <w:spacing w:val="0"/>
          <w:lang w:eastAsia="ru-RU"/>
        </w:rPr>
        <w:t xml:space="preserve"> </w:t>
      </w:r>
      <w:r w:rsidRPr="0095013B">
        <w:rPr>
          <w:rFonts w:eastAsia="Calibri"/>
          <w:i/>
          <w:spacing w:val="0"/>
          <w:lang w:eastAsia="ru-RU"/>
        </w:rPr>
        <w:t xml:space="preserve">от </w:t>
      </w:r>
      <w:r>
        <w:rPr>
          <w:rFonts w:eastAsia="Calibri"/>
          <w:b/>
          <w:i/>
          <w:spacing w:val="0"/>
          <w:lang w:eastAsia="ru-RU"/>
        </w:rPr>
        <w:t>19</w:t>
      </w:r>
      <w:r w:rsidRPr="0095013B">
        <w:rPr>
          <w:rFonts w:eastAsia="Calibri"/>
          <w:i/>
          <w:spacing w:val="0"/>
          <w:lang w:eastAsia="ru-RU"/>
        </w:rPr>
        <w:t xml:space="preserve"> </w:t>
      </w:r>
      <w:r>
        <w:rPr>
          <w:rFonts w:eastAsia="Calibri"/>
          <w:i/>
          <w:spacing w:val="0"/>
          <w:lang w:eastAsia="ru-RU"/>
        </w:rPr>
        <w:t>декабря</w:t>
      </w:r>
      <w:r w:rsidRPr="0095013B">
        <w:rPr>
          <w:rFonts w:eastAsia="Calibri"/>
          <w:i/>
          <w:spacing w:val="0"/>
          <w:lang w:eastAsia="ru-RU"/>
        </w:rPr>
        <w:t xml:space="preserve"> 2024 года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Pr="0095013B" w:rsidRDefault="00DD7C23" w:rsidP="00DD7C23">
      <w:pPr>
        <w:spacing w:after="0" w:line="240" w:lineRule="auto"/>
        <w:rPr>
          <w:rFonts w:eastAsia="Calibri"/>
          <w:b/>
          <w:i/>
          <w:spacing w:val="0"/>
          <w:lang w:eastAsia="ru-RU"/>
        </w:rPr>
      </w:pP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i/>
          <w:spacing w:val="0"/>
          <w:lang w:eastAsia="ru-RU"/>
        </w:rPr>
      </w:pP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DD7C23" w:rsidRPr="0095013B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spacing w:val="0"/>
          <w:lang w:eastAsia="ru-RU"/>
        </w:rPr>
        <w:t xml:space="preserve"> район, село Рагозино, ул. Советская, 1.</w:t>
      </w: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  <w:r w:rsidRPr="0095013B">
        <w:rPr>
          <w:rFonts w:eastAsia="Calibri"/>
          <w:spacing w:val="0"/>
          <w:lang w:eastAsia="ru-RU"/>
        </w:rPr>
        <w:t>Тираж 10 экз.</w:t>
      </w: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lastRenderedPageBreak/>
        <w:t>СОВЕТ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РАГОЗИНСКОГО СЕЛЬСКОГО ПОСЕЛЕНИЯ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СЕДЕЛЬНИКОВСКОГО МУНИЦИПАЛЬНОГО РАЙОНА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ОМСКОЙ ОБЛАСТИ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DD7C23" w:rsidRPr="00DD7C23" w:rsidRDefault="00DD7C23" w:rsidP="00DD7C23">
      <w:pPr>
        <w:spacing w:after="0" w:line="240" w:lineRule="auto"/>
        <w:ind w:left="-426"/>
        <w:jc w:val="center"/>
        <w:rPr>
          <w:rFonts w:eastAsia="Times New Roman"/>
          <w:spacing w:val="0"/>
          <w:szCs w:val="24"/>
          <w:lang w:val="x-none"/>
        </w:rPr>
      </w:pPr>
      <w:r w:rsidRPr="00DD7C23">
        <w:rPr>
          <w:rFonts w:eastAsia="Times New Roman"/>
          <w:spacing w:val="0"/>
          <w:szCs w:val="24"/>
        </w:rPr>
        <w:t>Девяносто пятое</w:t>
      </w:r>
      <w:r w:rsidRPr="00DD7C23">
        <w:rPr>
          <w:rFonts w:eastAsia="Times New Roman"/>
          <w:spacing w:val="0"/>
          <w:szCs w:val="24"/>
          <w:lang w:val="x-none"/>
        </w:rPr>
        <w:t xml:space="preserve"> заседание четвертого созыва</w:t>
      </w:r>
    </w:p>
    <w:p w:rsidR="00DD7C23" w:rsidRPr="00DD7C23" w:rsidRDefault="00DD7C23" w:rsidP="00DD7C23">
      <w:pPr>
        <w:spacing w:after="0" w:line="240" w:lineRule="auto"/>
        <w:rPr>
          <w:rFonts w:eastAsia="Times New Roman"/>
          <w:b/>
          <w:spacing w:val="0"/>
          <w:sz w:val="24"/>
          <w:szCs w:val="24"/>
          <w:lang w:val="x-none"/>
        </w:rPr>
      </w:pPr>
    </w:p>
    <w:p w:rsidR="00DD7C23" w:rsidRPr="00DD7C23" w:rsidRDefault="00DD7C23" w:rsidP="00DD7C23">
      <w:pPr>
        <w:tabs>
          <w:tab w:val="left" w:pos="1560"/>
        </w:tabs>
        <w:spacing w:after="0" w:line="240" w:lineRule="auto"/>
        <w:jc w:val="center"/>
        <w:rPr>
          <w:rFonts w:eastAsia="Times New Roman"/>
          <w:b/>
          <w:spacing w:val="0"/>
          <w:sz w:val="32"/>
          <w:szCs w:val="32"/>
          <w:lang w:eastAsia="ru-RU"/>
        </w:rPr>
      </w:pPr>
      <w:r w:rsidRPr="00DD7C23">
        <w:rPr>
          <w:rFonts w:eastAsia="Times New Roman"/>
          <w:b/>
          <w:spacing w:val="0"/>
          <w:sz w:val="32"/>
          <w:szCs w:val="32"/>
          <w:lang w:eastAsia="ru-RU"/>
        </w:rPr>
        <w:t>РЕШЕНИЕ</w:t>
      </w:r>
    </w:p>
    <w:p w:rsidR="00DD7C23" w:rsidRPr="00DD7C23" w:rsidRDefault="00DD7C23" w:rsidP="00DD7C23">
      <w:pPr>
        <w:spacing w:after="0" w:line="240" w:lineRule="auto"/>
        <w:rPr>
          <w:rFonts w:eastAsia="Times New Roman"/>
          <w:spacing w:val="0"/>
          <w:lang w:eastAsia="ru-RU"/>
        </w:rPr>
      </w:pPr>
      <w:r w:rsidRPr="00DD7C23">
        <w:rPr>
          <w:rFonts w:eastAsia="Times New Roman"/>
          <w:spacing w:val="0"/>
          <w:sz w:val="24"/>
          <w:szCs w:val="24"/>
          <w:lang w:eastAsia="ru-RU"/>
        </w:rPr>
        <w:t>19.12.2024</w:t>
      </w:r>
      <w:r w:rsidRPr="00DD7C23">
        <w:rPr>
          <w:rFonts w:eastAsia="Times New Roman"/>
          <w:spacing w:val="0"/>
          <w:lang w:eastAsia="ru-RU"/>
        </w:rPr>
        <w:t xml:space="preserve"> года                                                                                               № 53</w:t>
      </w:r>
    </w:p>
    <w:p w:rsidR="00DD7C23" w:rsidRPr="00DD7C23" w:rsidRDefault="00DD7C23" w:rsidP="00DD7C23">
      <w:pPr>
        <w:spacing w:after="0" w:line="240" w:lineRule="auto"/>
        <w:rPr>
          <w:rFonts w:eastAsia="Times New Roman"/>
          <w:spacing w:val="0"/>
          <w:lang w:eastAsia="ru-RU"/>
        </w:rPr>
      </w:pPr>
      <w:r w:rsidRPr="00DD7C23">
        <w:rPr>
          <w:rFonts w:eastAsia="Times New Roman"/>
          <w:spacing w:val="0"/>
          <w:lang w:eastAsia="ru-RU"/>
        </w:rPr>
        <w:t xml:space="preserve"> с. Рагозино</w:t>
      </w:r>
    </w:p>
    <w:p w:rsidR="00DD7C23" w:rsidRPr="00DD7C23" w:rsidRDefault="00DD7C23" w:rsidP="00DD7C23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и  2026</w:t>
      </w:r>
      <w:proofErr w:type="gramEnd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годов»</w:t>
      </w:r>
    </w:p>
    <w:p w:rsidR="00DD7C23" w:rsidRPr="00DD7C23" w:rsidRDefault="00DD7C23" w:rsidP="00DD7C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DD7C23" w:rsidRPr="00DD7C23" w:rsidRDefault="00DD7C23" w:rsidP="00DD7C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2.Приложение № 2 изложить в следующей редакции (прилагается);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3.Приложение № 3 изложить в следующей редакции (прилагается);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4.Приложение № 4 изложить в следующей редакции (прилагается):     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5.Приложение № 5 изложить в следующей редакции (прилагается);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6. Приложение № 6 изложить в следующей редакции (прилагается);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DD7C23" w:rsidRPr="00DD7C23" w:rsidRDefault="00DD7C23" w:rsidP="00DD7C23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Председатель Совета</w:t>
      </w: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Балашенко</w:t>
      </w:r>
      <w:proofErr w:type="spellEnd"/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DD7C23" w:rsidRPr="00DD7C23" w:rsidRDefault="00DD7C23" w:rsidP="00DD7C23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proofErr w:type="spellStart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Вр.и.о</w:t>
      </w:r>
      <w:proofErr w:type="spellEnd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. Главы Рагозинского</w:t>
      </w:r>
    </w:p>
    <w:p w:rsidR="00DD7C23" w:rsidRPr="00DD7C23" w:rsidRDefault="00DD7C23" w:rsidP="00DD7C23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DD7C2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Нарадовая</w:t>
      </w:r>
      <w:proofErr w:type="spellEnd"/>
    </w:p>
    <w:p w:rsidR="00DD7C23" w:rsidRPr="00DD7C23" w:rsidRDefault="00DD7C23" w:rsidP="00DD7C23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spacing w:after="0" w:line="240" w:lineRule="auto"/>
        <w:jc w:val="right"/>
        <w:rPr>
          <w:rFonts w:eastAsia="Times New Roman"/>
          <w:color w:val="000000"/>
          <w:spacing w:val="0"/>
          <w:sz w:val="22"/>
          <w:szCs w:val="22"/>
          <w:lang w:eastAsia="ru-RU"/>
        </w:rPr>
        <w:sectPr w:rsidR="00DD7C23" w:rsidRPr="00DD7C23" w:rsidSect="008317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L19"/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567"/>
        <w:gridCol w:w="850"/>
        <w:gridCol w:w="567"/>
        <w:gridCol w:w="567"/>
        <w:gridCol w:w="709"/>
        <w:gridCol w:w="992"/>
        <w:gridCol w:w="1418"/>
        <w:gridCol w:w="1842"/>
        <w:gridCol w:w="1843"/>
        <w:gridCol w:w="2410"/>
      </w:tblGrid>
      <w:tr w:rsidR="00DD7C23" w:rsidRPr="00DD7C23" w:rsidTr="00227726">
        <w:trPr>
          <w:trHeight w:val="1420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DD7C23" w:rsidRPr="00DD7C23" w:rsidTr="00227726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4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DD7C23" w:rsidRPr="00DD7C23" w:rsidTr="00227726">
        <w:trPr>
          <w:trHeight w:val="28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DD7C23" w:rsidRPr="00DD7C23" w:rsidTr="00227726">
        <w:trPr>
          <w:trHeight w:val="3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224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DD7C23" w:rsidRPr="00DD7C23" w:rsidTr="002277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DD7C23" w:rsidRPr="00DD7C23" w:rsidTr="0022772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D7C23" w:rsidRPr="00DD7C23" w:rsidTr="00227726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5 468 568,80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DD7C23" w:rsidRPr="00DD7C23" w:rsidTr="00227726">
        <w:trPr>
          <w:trHeight w:val="70"/>
        </w:trPr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DD7C23" w:rsidRPr="00DD7C23" w:rsidRDefault="00DD7C23" w:rsidP="00DD7C23">
      <w:pPr>
        <w:rPr>
          <w:b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701"/>
        <w:gridCol w:w="1701"/>
        <w:gridCol w:w="1843"/>
        <w:gridCol w:w="1843"/>
        <w:gridCol w:w="1275"/>
        <w:gridCol w:w="1417"/>
        <w:gridCol w:w="1277"/>
      </w:tblGrid>
      <w:tr w:rsidR="00DD7C23" w:rsidRPr="00DD7C23" w:rsidTr="00227726">
        <w:trPr>
          <w:trHeight w:val="1278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I28"/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DD7C23" w:rsidRPr="00DD7C23" w:rsidTr="00227726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DD7C23" w:rsidRPr="00DD7C23" w:rsidTr="00227726">
        <w:trPr>
          <w:trHeight w:val="460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571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D7C23" w:rsidRPr="00DD7C23" w:rsidTr="00227726">
        <w:trPr>
          <w:trHeight w:val="7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81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DD7C23" w:rsidRPr="00DD7C23" w:rsidTr="00227726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2 729 120,00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1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83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1 327 725,36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6"/>
        <w:gridCol w:w="2634"/>
        <w:gridCol w:w="983"/>
        <w:gridCol w:w="500"/>
        <w:gridCol w:w="709"/>
        <w:gridCol w:w="766"/>
        <w:gridCol w:w="651"/>
        <w:gridCol w:w="70"/>
        <w:gridCol w:w="1490"/>
        <w:gridCol w:w="1426"/>
        <w:gridCol w:w="1550"/>
        <w:gridCol w:w="1426"/>
        <w:gridCol w:w="1409"/>
        <w:gridCol w:w="1134"/>
      </w:tblGrid>
      <w:tr w:rsidR="00DD7C23" w:rsidRPr="00DD7C23" w:rsidTr="00227726">
        <w:trPr>
          <w:trHeight w:val="1420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M91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DD7C23" w:rsidRPr="00DD7C23" w:rsidTr="00227726">
        <w:trPr>
          <w:trHeight w:val="394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020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5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6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269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80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5 908 886,44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2 620 645,24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2529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2 901 599,83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2 901 599,83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пенсиям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1 538 013,30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8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47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21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4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4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118 379,71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судебных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актов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8"/>
        <w:gridCol w:w="567"/>
        <w:gridCol w:w="709"/>
        <w:gridCol w:w="567"/>
        <w:gridCol w:w="567"/>
        <w:gridCol w:w="709"/>
        <w:gridCol w:w="709"/>
        <w:gridCol w:w="567"/>
        <w:gridCol w:w="1134"/>
        <w:gridCol w:w="993"/>
        <w:gridCol w:w="1275"/>
        <w:gridCol w:w="1276"/>
        <w:gridCol w:w="1134"/>
        <w:gridCol w:w="992"/>
      </w:tblGrid>
      <w:tr w:rsidR="00DD7C23" w:rsidRPr="00DD7C23" w:rsidTr="00227726">
        <w:trPr>
          <w:trHeight w:val="1136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38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DD7C23" w:rsidRPr="00DD7C23" w:rsidTr="00227726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886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D7C23" w:rsidRPr="00DD7C23" w:rsidTr="00227726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192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DD7C23" w:rsidRPr="00DD7C23" w:rsidTr="00227726">
        <w:trPr>
          <w:trHeight w:val="8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2 729 120,00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Функционирование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284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221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DD7C23" w:rsidRPr="00DD7C23" w:rsidTr="00227726">
        <w:trPr>
          <w:trHeight w:val="21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2 444 955,20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1 001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792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305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первичного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42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51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644,00</w:t>
            </w:r>
          </w:p>
        </w:tc>
      </w:tr>
      <w:tr w:rsidR="00DD7C23" w:rsidRPr="00DD7C23" w:rsidTr="0022772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941 193,53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118 379,71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113 879,71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1 327 725,36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1 322 800,36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1 321 871,28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на осуществление мероприятий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351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198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125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DD7C23" w:rsidRPr="00DD7C23" w:rsidTr="00227726">
        <w:trPr>
          <w:trHeight w:val="199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351 671,17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129 031,17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124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5 968 886,44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567"/>
        <w:gridCol w:w="992"/>
        <w:gridCol w:w="992"/>
        <w:gridCol w:w="992"/>
        <w:gridCol w:w="1276"/>
        <w:gridCol w:w="1276"/>
        <w:gridCol w:w="1559"/>
        <w:gridCol w:w="1559"/>
        <w:gridCol w:w="1560"/>
      </w:tblGrid>
      <w:tr w:rsidR="00DD7C23" w:rsidRPr="00DD7C23" w:rsidTr="00227726">
        <w:trPr>
          <w:trHeight w:val="989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K21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DD7C23" w:rsidRPr="00DD7C23" w:rsidTr="00227726">
        <w:trPr>
          <w:trHeight w:val="39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45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2024 год и на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36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DD7C23" w:rsidRPr="00DD7C23" w:rsidTr="0022772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Дотации на выравнивание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2 637 825,24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p w:rsidR="00DD7C23" w:rsidRPr="00DD7C23" w:rsidRDefault="00DD7C23" w:rsidP="00DD7C23">
      <w:pPr>
        <w:rPr>
          <w:b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34"/>
        <w:gridCol w:w="680"/>
        <w:gridCol w:w="850"/>
        <w:gridCol w:w="993"/>
        <w:gridCol w:w="992"/>
        <w:gridCol w:w="992"/>
        <w:gridCol w:w="1134"/>
        <w:gridCol w:w="1276"/>
        <w:gridCol w:w="1417"/>
        <w:gridCol w:w="1418"/>
        <w:gridCol w:w="2551"/>
      </w:tblGrid>
      <w:tr w:rsidR="00DD7C23" w:rsidRPr="00DD7C23" w:rsidTr="00227726">
        <w:trPr>
          <w:trHeight w:val="1136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K49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1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19 декабря 2024 года № 53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DD7C23" w:rsidRPr="00DD7C23" w:rsidTr="00227726">
        <w:trPr>
          <w:trHeight w:val="394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7C23" w:rsidRPr="00DD7C23" w:rsidTr="00227726">
        <w:trPr>
          <w:trHeight w:val="337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ПРОГНОЗ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DD7C23" w:rsidRPr="00DD7C23" w:rsidTr="00227726">
        <w:trPr>
          <w:trHeight w:val="394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D7C23" w:rsidRPr="00DD7C23" w:rsidTr="00227726">
        <w:trPr>
          <w:trHeight w:val="227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DD7C23" w:rsidRPr="00DD7C23" w:rsidTr="00227726">
        <w:trPr>
          <w:trHeight w:val="30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1 236 798,75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1 177 524,49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1 450 090,49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88 028,00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824 344,27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824 344,27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420 025,27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420 025,27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473 847,00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3 570,00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456 826,00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640 066,00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DD7C23" w:rsidRPr="00DD7C23" w:rsidTr="00227726">
        <w:trPr>
          <w:trHeight w:val="418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-55 021,00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-81 130,00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DD7C23" w:rsidRPr="00DD7C23" w:rsidTr="00227726">
        <w:trPr>
          <w:trHeight w:val="26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17 272,75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39 000,00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DD7C23" w:rsidRPr="00DD7C23" w:rsidTr="00227726">
        <w:trPr>
          <w:trHeight w:val="776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6 200,00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DD7C23" w:rsidRPr="00DD7C23" w:rsidTr="00227726">
        <w:trPr>
          <w:trHeight w:val="36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51 501,55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16 082,35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35 419,20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эксплуатацией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DD7C23" w:rsidRPr="00DD7C23" w:rsidTr="00227726">
        <w:trPr>
          <w:trHeight w:val="76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185 007,94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  <w:tr w:rsidR="00DD7C23" w:rsidRPr="00DD7C23" w:rsidTr="00227726">
        <w:trPr>
          <w:trHeight w:val="7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23" w:rsidRPr="00DD7C23" w:rsidRDefault="00DD7C23" w:rsidP="00DD7C23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23" w:rsidRPr="00DD7C23" w:rsidRDefault="00DD7C23" w:rsidP="00DD7C23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DD7C23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20 000,00</w:t>
            </w:r>
          </w:p>
        </w:tc>
      </w:tr>
    </w:tbl>
    <w:p w:rsidR="00DD7C23" w:rsidRDefault="00DD7C23" w:rsidP="00DD7C23">
      <w:pPr>
        <w:rPr>
          <w:b/>
        </w:rPr>
        <w:sectPr w:rsidR="00DD7C23" w:rsidSect="00DD7C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7C23" w:rsidRPr="00DD7C23" w:rsidRDefault="00DD7C23" w:rsidP="00DD7C23">
      <w:pPr>
        <w:rPr>
          <w:b/>
        </w:rPr>
      </w:pPr>
    </w:p>
    <w:p w:rsidR="00DD7C23" w:rsidRDefault="00DD7C23" w:rsidP="00DD7C23">
      <w:pPr>
        <w:spacing w:after="0" w:line="240" w:lineRule="auto"/>
        <w:jc w:val="center"/>
        <w:rPr>
          <w:rFonts w:eastAsia="Calibri"/>
          <w:b/>
          <w:spacing w:val="0"/>
          <w:lang w:eastAsia="ru-RU"/>
        </w:rPr>
      </w:pP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СОВЕТ</w:t>
      </w: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РАГОЗИНСКОГО СЕЛЬСКОГО ПОСЕЛЕНИЯ</w:t>
      </w: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СЕДЕЛЬНИКОВСКОГО МУНИЦИПАЛЬНОГО РАЙОНА</w:t>
      </w: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ОМСКОЙ ОБЛАСТИ</w:t>
      </w: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Девяносто пятое заседание четвертого созыва</w:t>
      </w:r>
    </w:p>
    <w:p w:rsidR="00373E67" w:rsidRPr="00373E67" w:rsidRDefault="00373E67" w:rsidP="00373E67">
      <w:pPr>
        <w:spacing w:after="0" w:line="240" w:lineRule="auto"/>
        <w:jc w:val="center"/>
        <w:rPr>
          <w:rFonts w:eastAsia="Times New Roman"/>
          <w:spacing w:val="49"/>
          <w:lang w:eastAsia="ru-RU"/>
        </w:rPr>
      </w:pPr>
      <w:r w:rsidRPr="00373E67">
        <w:rPr>
          <w:rFonts w:eastAsia="Times New Roman"/>
          <w:spacing w:val="49"/>
          <w:lang w:eastAsia="ru-RU"/>
        </w:rPr>
        <w:t>РЕШЕНИЕ</w:t>
      </w:r>
    </w:p>
    <w:p w:rsidR="00373E67" w:rsidRPr="00373E67" w:rsidRDefault="00373E67" w:rsidP="00373E67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373E67" w:rsidRPr="00373E67" w:rsidRDefault="00373E67" w:rsidP="00373E67">
      <w:pPr>
        <w:spacing w:after="0" w:line="240" w:lineRule="auto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19 </w:t>
      </w:r>
      <w:proofErr w:type="gramStart"/>
      <w:r w:rsidRPr="00373E67">
        <w:rPr>
          <w:rFonts w:eastAsia="Times New Roman"/>
          <w:spacing w:val="0"/>
          <w:lang w:eastAsia="ru-RU"/>
        </w:rPr>
        <w:t>декабря  2024</w:t>
      </w:r>
      <w:proofErr w:type="gramEnd"/>
      <w:r w:rsidRPr="00373E67">
        <w:rPr>
          <w:rFonts w:eastAsia="Times New Roman"/>
          <w:spacing w:val="0"/>
          <w:lang w:eastAsia="ru-RU"/>
        </w:rPr>
        <w:t xml:space="preserve"> года</w:t>
      </w:r>
      <w:r w:rsidRPr="00373E67">
        <w:rPr>
          <w:rFonts w:eastAsia="Times New Roman"/>
          <w:spacing w:val="0"/>
          <w:lang w:eastAsia="ru-RU"/>
        </w:rPr>
        <w:tab/>
      </w:r>
      <w:r w:rsidRPr="00373E67">
        <w:rPr>
          <w:rFonts w:eastAsia="Times New Roman"/>
          <w:spacing w:val="0"/>
          <w:lang w:eastAsia="ru-RU"/>
        </w:rPr>
        <w:tab/>
      </w:r>
      <w:r w:rsidRPr="00373E67">
        <w:rPr>
          <w:rFonts w:eastAsia="Times New Roman"/>
          <w:spacing w:val="0"/>
          <w:lang w:eastAsia="ru-RU"/>
        </w:rPr>
        <w:tab/>
      </w:r>
      <w:r w:rsidRPr="00373E67">
        <w:rPr>
          <w:rFonts w:eastAsia="Times New Roman"/>
          <w:spacing w:val="0"/>
          <w:lang w:eastAsia="ru-RU"/>
        </w:rPr>
        <w:tab/>
        <w:t xml:space="preserve">                № 54</w:t>
      </w:r>
    </w:p>
    <w:p w:rsidR="00373E67" w:rsidRPr="00373E67" w:rsidRDefault="00373E67" w:rsidP="00373E67">
      <w:pPr>
        <w:spacing w:after="0" w:line="240" w:lineRule="auto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с. Рагозино</w:t>
      </w:r>
    </w:p>
    <w:p w:rsidR="00373E67" w:rsidRPr="00373E67" w:rsidRDefault="00373E67" w:rsidP="00373E67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373E67" w:rsidRPr="00373E67" w:rsidRDefault="00373E67" w:rsidP="00373E67">
      <w:pPr>
        <w:jc w:val="center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О внесении изменений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области»</w:t>
      </w:r>
    </w:p>
    <w:p w:rsidR="00373E67" w:rsidRPr="00373E67" w:rsidRDefault="00373E67" w:rsidP="00373E67">
      <w:pPr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Федерации», от 25.06.2002 № 73-ФЗ «Об объектах культурного наследия (памятников истории и культуры) народов Российской Федерации</w:t>
      </w:r>
      <w:proofErr w:type="gramStart"/>
      <w:r w:rsidRPr="00373E67">
        <w:rPr>
          <w:rFonts w:eastAsia="Times New Roman"/>
          <w:spacing w:val="0"/>
          <w:lang w:eastAsia="ru-RU"/>
        </w:rPr>
        <w:t>»,  Гражданским</w:t>
      </w:r>
      <w:proofErr w:type="gramEnd"/>
      <w:r w:rsidRPr="00373E67">
        <w:rPr>
          <w:rFonts w:eastAsia="Times New Roman"/>
          <w:spacing w:val="0"/>
          <w:lang w:eastAsia="ru-RU"/>
        </w:rPr>
        <w:t xml:space="preserve"> кодексом Российской Федерации, руководствуясь Уставом Рагозинского сельского поселения, Совет Рагозинского сельского поселения решил:</w:t>
      </w:r>
    </w:p>
    <w:p w:rsidR="00373E67" w:rsidRPr="00373E67" w:rsidRDefault="00373E67" w:rsidP="00373E67">
      <w:pPr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  1. Внести следующие изменения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области»:</w:t>
      </w:r>
    </w:p>
    <w:p w:rsidR="00373E67" w:rsidRPr="00373E67" w:rsidRDefault="00373E67" w:rsidP="00373E67">
      <w:pPr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  1. Пункт 2.2 части 2 изложить в следующей редакции:</w:t>
      </w:r>
    </w:p>
    <w:p w:rsidR="00373E67" w:rsidRPr="00373E67" w:rsidRDefault="00373E67" w:rsidP="00373E67">
      <w:pPr>
        <w:spacing w:after="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 а) ухудшение эксплуатационных характеристик объекта капитального строительства в целом или его отдельных частях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373E67" w:rsidRPr="00373E67" w:rsidRDefault="00373E67" w:rsidP="00373E67">
      <w:pPr>
        <w:spacing w:after="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</w:t>
      </w:r>
      <w:r w:rsidRPr="00373E67">
        <w:rPr>
          <w:rFonts w:eastAsia="Times New Roman"/>
          <w:spacing w:val="0"/>
          <w:lang w:eastAsia="ru-RU"/>
        </w:rPr>
        <w:lastRenderedPageBreak/>
        <w:t>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373E67" w:rsidRPr="00373E67" w:rsidRDefault="00373E67" w:rsidP="00373E67">
      <w:pPr>
        <w:spacing w:after="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 в) расположение объектов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373E67" w:rsidRPr="00373E67" w:rsidRDefault="00373E67" w:rsidP="00373E67">
      <w:pPr>
        <w:spacing w:after="12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     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373E67" w:rsidRPr="00373E67" w:rsidRDefault="00373E67" w:rsidP="00373E67">
      <w:pPr>
        <w:spacing w:after="120"/>
        <w:rPr>
          <w:b/>
        </w:rPr>
      </w:pPr>
      <w:r w:rsidRPr="00373E67">
        <w:rPr>
          <w:rFonts w:eastAsiaTheme="majorEastAsia"/>
          <w:spacing w:val="-10"/>
          <w:kern w:val="28"/>
        </w:rPr>
        <w:t xml:space="preserve">     2. Подпункт 3 пункта </w:t>
      </w:r>
      <w:proofErr w:type="gramStart"/>
      <w:r w:rsidRPr="00373E67">
        <w:rPr>
          <w:rFonts w:eastAsiaTheme="majorEastAsia"/>
          <w:spacing w:val="-10"/>
          <w:kern w:val="28"/>
        </w:rPr>
        <w:t xml:space="preserve">2.5  </w:t>
      </w:r>
      <w:r w:rsidRPr="00373E67">
        <w:rPr>
          <w:rFonts w:eastAsiaTheme="majorEastAsia"/>
          <w:spacing w:val="-10"/>
          <w:kern w:val="28"/>
          <w:lang w:eastAsia="ru-RU"/>
        </w:rPr>
        <w:t>изложить</w:t>
      </w:r>
      <w:proofErr w:type="gramEnd"/>
      <w:r w:rsidRPr="00373E67">
        <w:rPr>
          <w:rFonts w:eastAsia="Times New Roman"/>
          <w:spacing w:val="0"/>
          <w:lang w:eastAsia="ru-RU"/>
        </w:rPr>
        <w:t xml:space="preserve"> в следующей редакции</w:t>
      </w:r>
      <w:r w:rsidRPr="00373E67">
        <w:rPr>
          <w:b/>
        </w:rPr>
        <w:t>:</w:t>
      </w:r>
    </w:p>
    <w:p w:rsidR="00373E67" w:rsidRPr="00373E67" w:rsidRDefault="00373E67" w:rsidP="00373E67">
      <w:pPr>
        <w:spacing w:after="120"/>
        <w:jc w:val="both"/>
        <w:rPr>
          <w:rFonts w:eastAsia="Calibri"/>
          <w:color w:val="000000"/>
          <w:spacing w:val="0"/>
          <w:lang w:eastAsia="ru-RU"/>
        </w:rPr>
      </w:pPr>
      <w:r w:rsidRPr="00373E67">
        <w:rPr>
          <w:b/>
        </w:rPr>
        <w:t>-</w:t>
      </w:r>
      <w:r w:rsidRPr="00373E67">
        <w:rPr>
          <w:rFonts w:eastAsia="Calibri"/>
          <w:color w:val="000000"/>
          <w:spacing w:val="0"/>
          <w:lang w:eastAsia="ru-RU"/>
        </w:rPr>
        <w:t xml:space="preserve"> экспертное заключение специализированной организации, представляемое в Администрацию Рагозинского сельского поселения о техническом состоянии объекта недвижимого имущества, планируемого к сносу.</w:t>
      </w:r>
    </w:p>
    <w:p w:rsidR="00373E67" w:rsidRPr="00373E67" w:rsidRDefault="00373E67" w:rsidP="00373E67">
      <w:pPr>
        <w:spacing w:after="120"/>
        <w:rPr>
          <w:rFonts w:eastAsia="Calibri"/>
          <w:color w:val="000000"/>
          <w:spacing w:val="0"/>
          <w:lang w:eastAsia="ru-RU"/>
        </w:rPr>
      </w:pPr>
      <w:r w:rsidRPr="00373E67">
        <w:rPr>
          <w:rFonts w:eastAsia="Calibri"/>
          <w:color w:val="000000"/>
          <w:spacing w:val="0"/>
          <w:lang w:eastAsia="ru-RU"/>
        </w:rPr>
        <w:t xml:space="preserve">     3. Пункт 2.1 добавить подпункт 1 и 2 в следующей редакции:</w:t>
      </w:r>
    </w:p>
    <w:p w:rsidR="00373E67" w:rsidRPr="00373E67" w:rsidRDefault="00373E67" w:rsidP="00373E67">
      <w:pPr>
        <w:spacing w:after="0"/>
        <w:jc w:val="both"/>
        <w:rPr>
          <w:rFonts w:eastAsia="Calibri"/>
          <w:color w:val="000000"/>
          <w:spacing w:val="0"/>
          <w:lang w:eastAsia="ru-RU"/>
        </w:rPr>
      </w:pPr>
      <w:r w:rsidRPr="00373E67">
        <w:rPr>
          <w:rFonts w:eastAsia="Calibri"/>
          <w:color w:val="000000"/>
          <w:spacing w:val="0"/>
          <w:lang w:eastAsia="ru-RU"/>
        </w:rPr>
        <w:t xml:space="preserve">     1) </w:t>
      </w:r>
      <w:proofErr w:type="gramStart"/>
      <w:r w:rsidRPr="00373E67">
        <w:rPr>
          <w:rFonts w:eastAsia="Calibri"/>
          <w:color w:val="000000"/>
          <w:spacing w:val="0"/>
          <w:lang w:eastAsia="ru-RU"/>
        </w:rPr>
        <w:t>В</w:t>
      </w:r>
      <w:proofErr w:type="gramEnd"/>
      <w:r w:rsidRPr="00373E67">
        <w:rPr>
          <w:rFonts w:eastAsia="Calibri"/>
          <w:color w:val="000000"/>
          <w:spacing w:val="0"/>
          <w:lang w:eastAsia="ru-RU"/>
        </w:rPr>
        <w:t xml:space="preserve">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Администрацией Рагозинского сельского поселения в установленном ей порядке принимается Решение о создании межведомственной комиссии, в состав которой включаются должностные лица местного самоуправления;</w:t>
      </w:r>
    </w:p>
    <w:p w:rsidR="00373E67" w:rsidRPr="00373E67" w:rsidRDefault="00373E67" w:rsidP="00373E67">
      <w:pPr>
        <w:spacing w:after="0"/>
        <w:jc w:val="both"/>
        <w:rPr>
          <w:rFonts w:eastAsia="Calibri"/>
          <w:color w:val="000000"/>
          <w:spacing w:val="0"/>
          <w:lang w:eastAsia="ru-RU"/>
        </w:rPr>
      </w:pPr>
      <w:r w:rsidRPr="00373E67">
        <w:rPr>
          <w:rFonts w:eastAsia="Calibri"/>
          <w:color w:val="000000"/>
          <w:spacing w:val="0"/>
          <w:lang w:eastAsia="ru-RU"/>
        </w:rPr>
        <w:t xml:space="preserve">     2)  на основании полученного заключения межведомственной комиссии Администрацией Рагозинского сельского поселения, в течении </w:t>
      </w:r>
      <w:proofErr w:type="gramStart"/>
      <w:r w:rsidRPr="00373E67">
        <w:rPr>
          <w:rFonts w:eastAsia="Calibri"/>
          <w:color w:val="000000"/>
          <w:spacing w:val="0"/>
          <w:lang w:eastAsia="ru-RU"/>
        </w:rPr>
        <w:t>30  календарных</w:t>
      </w:r>
      <w:proofErr w:type="gramEnd"/>
      <w:r w:rsidRPr="00373E67">
        <w:rPr>
          <w:rFonts w:eastAsia="Calibri"/>
          <w:color w:val="000000"/>
          <w:spacing w:val="0"/>
          <w:lang w:eastAsia="ru-RU"/>
        </w:rPr>
        <w:t xml:space="preserve"> дней принимается Решение о признании объекта капитального строительства аварийным и подлежащим сносу и издается соответствующий распорядительный акт.</w:t>
      </w:r>
    </w:p>
    <w:p w:rsidR="00373E67" w:rsidRPr="00373E67" w:rsidRDefault="00373E67" w:rsidP="00373E67">
      <w:pPr>
        <w:spacing w:after="120" w:line="240" w:lineRule="auto"/>
        <w:contextualSpacing/>
        <w:rPr>
          <w:rFonts w:eastAsiaTheme="majorEastAsia"/>
          <w:spacing w:val="-10"/>
          <w:kern w:val="28"/>
        </w:rPr>
      </w:pPr>
      <w:r w:rsidRPr="00373E67">
        <w:rPr>
          <w:rFonts w:eastAsiaTheme="majorEastAsia"/>
          <w:spacing w:val="-10"/>
          <w:kern w:val="28"/>
        </w:rPr>
        <w:t xml:space="preserve">      4.  </w:t>
      </w:r>
      <w:proofErr w:type="gramStart"/>
      <w:r w:rsidRPr="00373E67">
        <w:rPr>
          <w:rFonts w:eastAsiaTheme="majorEastAsia"/>
          <w:spacing w:val="-10"/>
          <w:kern w:val="28"/>
        </w:rPr>
        <w:t>Пункт  2.6</w:t>
      </w:r>
      <w:proofErr w:type="gramEnd"/>
      <w:r w:rsidRPr="00373E67">
        <w:rPr>
          <w:rFonts w:eastAsiaTheme="majorEastAsia"/>
          <w:spacing w:val="-10"/>
          <w:kern w:val="28"/>
        </w:rPr>
        <w:t xml:space="preserve">  Положения  исключить.</w:t>
      </w:r>
    </w:p>
    <w:p w:rsidR="00373E67" w:rsidRPr="00373E67" w:rsidRDefault="00373E67" w:rsidP="00373E67">
      <w:pPr>
        <w:spacing w:after="120"/>
        <w:ind w:firstLine="225"/>
        <w:jc w:val="both"/>
        <w:rPr>
          <w:rFonts w:eastAsia="Times New Roman"/>
          <w:color w:val="000000"/>
          <w:spacing w:val="0"/>
          <w:lang w:eastAsia="ru-RU"/>
        </w:rPr>
      </w:pPr>
      <w:r w:rsidRPr="00373E67">
        <w:t xml:space="preserve"> 5.</w:t>
      </w:r>
      <w:r w:rsidRPr="00373E67">
        <w:rPr>
          <w:rFonts w:eastAsia="Times New Roman"/>
          <w:color w:val="000000"/>
          <w:spacing w:val="0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373E67" w:rsidRPr="00373E67" w:rsidRDefault="00373E67" w:rsidP="00373E6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>Председатель Совета</w:t>
      </w:r>
    </w:p>
    <w:p w:rsidR="00373E67" w:rsidRPr="00373E67" w:rsidRDefault="00373E67" w:rsidP="00373E6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pacing w:val="0"/>
          <w:lang w:eastAsia="ru-RU"/>
        </w:rPr>
      </w:pPr>
      <w:r w:rsidRPr="00373E67">
        <w:rPr>
          <w:rFonts w:eastAsia="Times New Roman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373E67">
        <w:rPr>
          <w:rFonts w:eastAsia="Times New Roman"/>
          <w:spacing w:val="0"/>
          <w:lang w:eastAsia="ru-RU"/>
        </w:rPr>
        <w:t>Балашенко</w:t>
      </w:r>
      <w:proofErr w:type="spellEnd"/>
    </w:p>
    <w:p w:rsidR="00373E67" w:rsidRPr="00373E67" w:rsidRDefault="00373E67" w:rsidP="00373E67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pacing w:val="0"/>
          <w:lang w:eastAsia="ru-RU"/>
        </w:rPr>
      </w:pPr>
      <w:proofErr w:type="spellStart"/>
      <w:r w:rsidRPr="00373E67">
        <w:rPr>
          <w:rFonts w:eastAsia="Times New Roman"/>
          <w:spacing w:val="0"/>
          <w:lang w:eastAsia="ru-RU"/>
        </w:rPr>
        <w:t>Вр.и.о</w:t>
      </w:r>
      <w:proofErr w:type="spellEnd"/>
      <w:r w:rsidRPr="00373E67">
        <w:rPr>
          <w:rFonts w:eastAsia="Times New Roman"/>
          <w:spacing w:val="0"/>
          <w:lang w:eastAsia="ru-RU"/>
        </w:rPr>
        <w:t>. Главы Рагозинского</w:t>
      </w:r>
    </w:p>
    <w:p w:rsidR="006F4A6D" w:rsidRDefault="00373E67" w:rsidP="00373E67">
      <w:pPr>
        <w:spacing w:after="0" w:line="240" w:lineRule="auto"/>
      </w:pPr>
      <w:r w:rsidRPr="00373E67">
        <w:rPr>
          <w:rFonts w:eastAsia="Times New Roman"/>
          <w:spacing w:val="0"/>
          <w:lang w:eastAsia="ru-RU"/>
        </w:rPr>
        <w:t xml:space="preserve">     сельского поселения                                                          Е.П. </w:t>
      </w:r>
      <w:proofErr w:type="spellStart"/>
      <w:r w:rsidRPr="00373E67">
        <w:rPr>
          <w:rFonts w:eastAsia="Times New Roman"/>
          <w:spacing w:val="0"/>
          <w:lang w:eastAsia="ru-RU"/>
        </w:rPr>
        <w:t>Нарадовая</w:t>
      </w:r>
      <w:bookmarkStart w:id="6" w:name="_GoBack"/>
      <w:bookmarkEnd w:id="6"/>
      <w:proofErr w:type="spellEnd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E9"/>
    <w:rsid w:val="001E10D7"/>
    <w:rsid w:val="00373E67"/>
    <w:rsid w:val="004855E9"/>
    <w:rsid w:val="006F4A6D"/>
    <w:rsid w:val="00AB6D4C"/>
    <w:rsid w:val="00D81606"/>
    <w:rsid w:val="00DD7C23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B6AD-4E38-42A7-85FB-895AE9F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7C23"/>
  </w:style>
  <w:style w:type="character" w:styleId="a3">
    <w:name w:val="Hyperlink"/>
    <w:basedOn w:val="a0"/>
    <w:uiPriority w:val="99"/>
    <w:semiHidden/>
    <w:unhideWhenUsed/>
    <w:rsid w:val="00DD7C23"/>
    <w:rPr>
      <w:color w:val="0563C1"/>
      <w:u w:val="single"/>
    </w:rPr>
  </w:style>
  <w:style w:type="paragraph" w:customStyle="1" w:styleId="xl65">
    <w:name w:val="xl65"/>
    <w:basedOn w:val="a"/>
    <w:rsid w:val="00DD7C23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66">
    <w:name w:val="xl66"/>
    <w:basedOn w:val="a"/>
    <w:rsid w:val="00DD7C23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0"/>
      <w:sz w:val="22"/>
      <w:szCs w:val="22"/>
      <w:lang w:eastAsia="ru-RU"/>
    </w:rPr>
  </w:style>
  <w:style w:type="paragraph" w:customStyle="1" w:styleId="xl67">
    <w:name w:val="xl67"/>
    <w:basedOn w:val="a"/>
    <w:rsid w:val="00DD7C2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68">
    <w:name w:val="xl68"/>
    <w:basedOn w:val="a"/>
    <w:rsid w:val="00DD7C23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69">
    <w:name w:val="xl69"/>
    <w:basedOn w:val="a"/>
    <w:rsid w:val="00DD7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70">
    <w:name w:val="xl70"/>
    <w:basedOn w:val="a"/>
    <w:rsid w:val="00DD7C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1">
    <w:name w:val="xl71"/>
    <w:basedOn w:val="a"/>
    <w:rsid w:val="00DD7C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2">
    <w:name w:val="xl72"/>
    <w:basedOn w:val="a"/>
    <w:rsid w:val="00DD7C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DD7C2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DD7C2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DD7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DD7C2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DD7C2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DD7C2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DD7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DD7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81">
    <w:name w:val="xl81"/>
    <w:basedOn w:val="a"/>
    <w:rsid w:val="00DD7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pacing w:val="0"/>
      <w:sz w:val="22"/>
      <w:szCs w:val="22"/>
      <w:lang w:eastAsia="ru-RU"/>
    </w:rPr>
  </w:style>
  <w:style w:type="paragraph" w:customStyle="1" w:styleId="xl63">
    <w:name w:val="xl63"/>
    <w:basedOn w:val="a"/>
    <w:rsid w:val="00DD7C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64">
    <w:name w:val="xl64"/>
    <w:basedOn w:val="a"/>
    <w:rsid w:val="00DD7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C23"/>
    <w:pPr>
      <w:spacing w:after="0" w:line="240" w:lineRule="auto"/>
    </w:pPr>
    <w:rPr>
      <w:rFonts w:ascii="Segoe UI" w:hAnsi="Segoe UI" w:cs="Segoe UI"/>
      <w:b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23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8951</Words>
  <Characters>51021</Characters>
  <Application>Microsoft Office Word</Application>
  <DocSecurity>0</DocSecurity>
  <Lines>425</Lines>
  <Paragraphs>119</Paragraphs>
  <ScaleCrop>false</ScaleCrop>
  <Company/>
  <LinksUpToDate>false</LinksUpToDate>
  <CharactersWithSpaces>59853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2025-01-01T05:36:00Z</dcterms:created>
  <dcterms:modified xsi:type="dcterms:W3CDTF">2025-01-01T05:41:00Z</dcterms:modified>
</cp:coreProperties>
</file>